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124 III 434</w:t>
      </w:r>
    </w:p>
    <w:p>
      <w:r>
        <w:t>Bundesgericht (BGE), 1998-09-10, IT</w:t>
      </w:r>
    </w:p>
    <w:p>
      <w:r>
        <w:rPr>
          <w:b/>
        </w:rPr>
        <w:t xml:space="preserve">Quelle: </w:t>
      </w:r>
      <w:r>
        <w:t>https://mcp.opencaselaw.ch/entscheid/bge_124 III 434</w:t>
      </w:r>
    </w:p>
    <w:p>
      <w:r>
        <w:t>FR: ATF 124 III 434</w:t>
      </w:r>
    </w:p>
    <w:p>
      <w:r>
        <w:t>IT: DTF 124 III 434</w:t>
      </w:r>
    </w:p>
    <w:p>
      <w:pPr>
        <w:pStyle w:val="Heading2"/>
      </w:pPr>
      <w:r>
        <w:t>Regeste</w:t>
      </w:r>
    </w:p>
    <w:p>
      <w:r>
        <w:t>Regeste Art. 102 Abs. 2 KVG; Garantie des Versicherungsschutzes wie vor Inkrafttreten des KVG. Mit der Garantie des Art. 102 Abs. 2 KVG nicht zu vereinbaren ist ein Ausschluss der Deckung für Spitalaufenthalte, für die unter dem alten Recht Versicherungsschutz bestanden hat.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legge (art. 102 cpv. 2 i.f. LAMal) prescrive che la cassa malati deve offrire ai propri assicurati contratti di almeno pari copertura assicurativa riguardo quella di cui beneficiavano prima. La portata di questa norma è precisata nel Messaggio concernente la revisione dell'assicurazione malattia del 6 novembre 1991 (FF 1992 I, pag. 183) nel senso che tale garanzia riguarda soltanto il catalogo di prestazioni assicurate e non ha nessuna influenza sull'importo dei premi. Su questi ultimi, tra l'altro, il Tribunale federale già si è espresso nella DTF 124 III 229 consid. 3. Ora è generalmente ammesso (Maurer, Verhältnis obligatorische Krankenpflegeversicherung und Zusatzversicherung, in: LAMal - KVG, Recueil de travaux en l'honneur de la Société suisse de droit des assurances, Losanna 1997, pag. 726; Peter Streit, Assurances complémentaires selon la loi sur le contrat d'assurance (LCA): expériences et perspectives, in: Sécurité sociale 1997, pag. 225) che la garanzia della copertura di cui all' art. 102 cpv. 2 LAMal - espressa nella legge in maniera chiara - non dovrebbe dar origine a troppe contestazioni: le prestazioni assicurate devono essere garantite in misura uguale (pari) a quella esistente in precedenza. BGE 124 III 434 S. 436 Nel caso che ne occupa non può di conseguenza essere esclusa la copertura per ricoveri in ospedali per i quali era in precedenza garantita, perché ciò determinerebbe con tutta evidenza una restrizione delle prestazioni precedentemente coperte. Poco importa, al proposito, che con la nuova polizza siano state estese e aggiunte altre prestazioni: la stessa legge non impedisce un siffatto modo di procedere, ma esige semplicemente che i nuovi contratti siano di almeno pari copertura. Per il resto, tenuto altresì conto che con il ricorso non vengono proposte particolari censure alle quali i giudici cantonali già non abbiano dato compiuta risposta, ci si può limitare, oltre ad un rinvio a quelle motivazioni, a rilevare che con la predetta norma il legislatore non ha semplicemente inteso - come invece sostenuto dalla convenuta - tutelare gli assicurati unicamente contro limitazioni elementari e non giustificate delle prestazioni.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